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105</w:t>
      </w:r>
    </w:p>
    <w:p>
      <w:r>
        <w:t>Bundesgericht (BGE), 2011-02-28, FR</w:t>
      </w:r>
    </w:p>
    <w:p>
      <w:r>
        <w:rPr>
          <w:b/>
        </w:rPr>
        <w:t xml:space="preserve">Quelle: </w:t>
      </w:r>
      <w:r>
        <w:t>https://mcp.opencaselaw.ch/entscheid/bge_137 V 105</w:t>
      </w:r>
    </w:p>
    <w:p>
      <w:r>
        <w:t>FR: ATF 137 V 105</w:t>
      </w:r>
    </w:p>
    <w:p>
      <w:r>
        <w:t>IT: DTF 137 V 105</w:t>
      </w:r>
    </w:p>
    <w:p>
      <w:pPr>
        <w:pStyle w:val="Heading2"/>
      </w:pPr>
      <w:r>
        <w:t>Regeste</w:t>
      </w:r>
    </w:p>
    <w:p>
      <w:r>
        <w:t>Regeste Art. 73 Abs. 1 BVG: Feststellungsklage; Art. 20a BVG: Rente des überlebenden Lebenspartners; Art. 8 Abs. 2 BV: Gleichbehandlung. Einführung einer Rente für den überlebenden Lebenspartner durch eine Vorsorgeeinrichtung seit 2008 (Reglement 2008). Nachfolgende Änderung des Reglements, die das Recht auf diese Leistung ausschliesst, wenn der Verstorbene sich vor 2008 pensionieren liess (Reglement 2009). Feststellungsklage von zwei Konkubinatspartnern, von denen der eine seit 2006 bei der beschwerdegegnerischen Vorsorgeeinrichtung pensioniert ist, auf Anerkennung des Rechts des Überlebenden auf eine Rente beim Tod des Lebenspartners. Auf eine Feststellungsverfügung anwendbare Fassung des Vorsorgereglements (E. 5). Voraussetzungen, unter denen eine Vorsorgeeinrichtung das Reglement einseitig abändern kann (E. 6); Prüfung im konkreten Fall (E. 7). Wesen und Bedeutung der Verpflichtung der Konkubinatspartner, ihre Partnerschaft zu Lebzeiten zu melden (E. 8); unterschiedliche Behandlung gegenüber verheirateten Personen und eingetragenen Partnern (E. 9).</w:t>
      </w:r>
    </w:p>
    <w:p>
      <w:pPr>
        <w:pStyle w:val="Heading2"/>
      </w:pPr>
      <w:r>
        <w:t>Erwägungen</w:t>
      </w:r>
    </w:p>
    <w:p>
      <w:r>
        <w:rPr>
          <w:b/>
        </w:rPr>
        <w:t>E. 4</w:t>
      </w:r>
    </w:p>
    <w:p>
      <w:r>
        <w:t>Le litige porte sur la question de savoir si S. pourrait prétendre une rente de partenaire survivant au décès de D., à charge de l'intimée.</w:t>
      </w:r>
    </w:p>
    <w:p>
      <w:r>
        <w:rPr>
          <w:b/>
        </w:rPr>
        <w:t>E. 5.1</w:t>
      </w:r>
    </w:p>
    <w:p>
      <w:r>
        <w:t>Les recourants fondent leur droit sur l'art. 3.10a al. 1 du règlement 2008, qui a introduit, avec effet au 1 er janvier 2008, une rente de partenaire aux conditions suivantes: BGE 137 V 105 S. 108 Une communauté de vie comparable à celle du mariage, également entre personnes de même sexe, est assimilée au mariage, pour ce qui est du droit aux prestations mentionnées au chiffre 3.10, dans la mesure où: a) les deux partenaires ne sont pas mariés et n'ont pas de lien de parenté; b) il est possible d'apporter la preuve d'une communauté de vie avec ménage commun pendant au moins cinq années ininterrompues au moment du décès ou qu'il existe un ou plusieurs enfants à charge en commun et que la communauté de vie subsistait encore au moment du décès; c) il existe un formulaire d'annonce écrit de l'institution de prévoyance que la personne assurée a soumis de son vivant à l'institution de prévoyance; d) le droit est revendiqué auprès de l'institution de prévoyance trois mois au plus tard après le décès de la personne assurée; e) les conditions des lettres a) à c) étaient remplies avant la retraite.</w:t>
      </w:r>
    </w:p>
    <w:p>
      <w:r>
        <w:rPr>
          <w:b/>
        </w:rPr>
        <w:t>E. 5.2</w:t>
      </w:r>
    </w:p>
    <w:p>
      <w:r>
        <w:t>Les recourants contestent en particulier qu'il puisse être fait application de l'al. 1 bis de l'art. 3.10a du règlement, entré en vigueur le 1 er janvier 2009, dont la teneur est la suivante: Le droit à ces prestations n'existe que si la personne assurée remplit les conditions définies à l'alinéa 1. En cas de décès d'une personne retraitée, les conditions définies à l'alinéa 1 doivent cependant déjà être remplies au moment du départ à la retraite. En cas de départ à la retraite avant le 1 er janvier 2008, il n'existe aucun droit à ces prestations. Pour les juges cantonaux, rien ne s'oppose à l'application du règlement dans sa teneur dès le 1 er janvier 2009 (règlement 2009).</w:t>
      </w:r>
    </w:p>
    <w:p>
      <w:r>
        <w:rPr>
          <w:b/>
        </w:rPr>
        <w:t>E. 5.3.1</w:t>
      </w:r>
    </w:p>
    <w:p>
      <w:r>
        <w:t>Selon les principes généraux, auxquels se sont référés les premiers juges,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 ATF 126 V 163 consid. 4b p. 166 et la référence).</w:t>
      </w:r>
    </w:p>
    <w:p>
      <w:r>
        <w:rPr>
          <w:b/>
        </w:rPr>
        <w:t>E. 5.3.2</w:t>
      </w:r>
    </w:p>
    <w:p>
      <w:r>
        <w:t>En l'espèce, l'état de fait dont découle le droit à une rente de partenaire est le décès de l'assuré. Le fait qu'on soit en présence d'une procédure en constatation de droit ne change pas la solution du problème, mais il appartient à l'autorité de statuer sur la base du BGE 137 V 105 S. 109 droit applicable au moment où elle rend sa décision de constat à défaut de réalisation de l'état de fait assuré. Il y a donc lieu d'admettre que c'est sur la base du règlement 2009 que l'affaire doit être tranchée. Il reste donc à examiner les arguments invoqués par les recourants, qui s'opposent à l'application du règlement 2009 à leur cas.</w:t>
      </w:r>
    </w:p>
    <w:p>
      <w:r>
        <w:rPr>
          <w:b/>
        </w:rPr>
        <w:t>E. 6.1</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 ATF 130 V 18 consid. 3.3 p. 29; ATF 127 V 252 consid. 3b p. 255; ATF 117 V 221 consid. 4 p. 225;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 ATF 121 V 97 consid. 1b p. 101; arrêt 9C_140/2009 du 2 novembre 2009 consid. 4.2, in SVR 2010 BVG n° 16 p. 64).</w:t>
      </w:r>
    </w:p>
    <w:p>
      <w:r>
        <w:rPr>
          <w:b/>
        </w:rPr>
        <w:t>E. 6.2</w:t>
      </w:r>
    </w:p>
    <w:p>
      <w:r>
        <w:t>En l'espèce, l'art 9.1 du règlement, qui est resté inchangé, prévoit que le conseil de fondation est en tout temps habilité à modifier le présent règlement ainsi que ses annexes tout en préservant le but de la fondation et les droits des destinataires. Cette disposition réglementaire permet donc une modification du règlement pour autant que les exigences de la jurisprudence ( ATF 121 V 97 consid. 1b) soient respectées.</w:t>
      </w:r>
    </w:p>
    <w:p>
      <w:r>
        <w:rPr>
          <w:b/>
        </w:rPr>
        <w:t>E. 7.1</w:t>
      </w:r>
    </w:p>
    <w:p>
      <w:r>
        <w:t>Les recourants estiment que la modification du règlement 2008 n'était pas possible car elle constituait une violation des droits des destinataires garantis par l'art. 9.1 du règlement, ces derniers étant plus larges que les droits acquis.</w:t>
      </w:r>
    </w:p>
    <w:p>
      <w:r>
        <w:rPr>
          <w:b/>
        </w:rPr>
        <w:t>E. 7.2</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BGE 137 V 105 S. 110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 ATF 117 V 229 consid. 5b p. 235).</w:t>
      </w:r>
    </w:p>
    <w:p>
      <w:r>
        <w:rPr>
          <w:b/>
        </w:rPr>
        <w:t>E. 7.3</w:t>
      </w:r>
    </w:p>
    <w:p>
      <w:r>
        <w:t>En l'espèce, une rente de partenaire constitue pour S. une simple expectative, dont le principe et le contenu peuvent être modifiés unilatéralement par l'intimée.</w:t>
      </w:r>
    </w:p>
    <w:p>
      <w:r>
        <w:rPr>
          <w:b/>
        </w:rPr>
        <w:t>E. 7.4.1</w:t>
      </w:r>
    </w:p>
    <w:p>
      <w:r>
        <w:t>Les recourants considèrent que l'art. 9.1 du règlement, qui réserve les "droits des destinataires" en cas de modification du règlement, concerne des droits plus étendus que les droits acquis. Les recourants estiment pouvoir bénéficier de tels droits, qui sont nés lorsque l'annonce a été adressée à l'institution de prévoyance le 19 décembre 2007. En s'annonçant, ils ont accepté l'offre qui leur était faite par celle-ci et qui concernait l'obtention d'une rente de partenaire. Ainsi, le rapport d'obligation était parfait et l'intimée ne pouvait plus s'en départir unilatéralement.</w:t>
      </w:r>
    </w:p>
    <w:p>
      <w:r>
        <w:rPr>
          <w:b/>
        </w:rPr>
        <w:t>E. 7.4.2</w:t>
      </w:r>
    </w:p>
    <w:p>
      <w:r>
        <w:t>La manière de voir des recourants ne saurait être protégée. En effet, il y a tout d'abord lieu de constater qu'ils se limitent à alléguer, sans le rendre aucunement vraisemblable, que les "droits des destinataires" au sens de l'art. 9.1 du règlement sont plus étendus que les droits reconnus par la jurisprudence en cas de modification des dispositions règlementaires. De plus, il ressort du dossier que D. a appris, en consultant le site intranet de Y. (la page du site a été imprimée le 26 novembre 2007) qu'une rente de partenaire serait introduite et que les détails du droit à la nouvelle rente seraient communiqués par la suite. Le 19 décembre 2007, il a annoncé l'existence de son concubinage en déclarant (chiffre 2 du formulaire) qu'il a pris connaissance du règlement actuel "(...) ainsi que (de) l'aperçu correspondant 'rente pour le partenaire' et accepte les conditions qui y sont fixées". Ce document, qui a été produit par les recourants, précise à propos des personnes légitimées à demander une rente pour le partenaire que "Les collaboratrices et collaborateurs retraités n'ont pas cette possibilité sauf si les conditions d'obtention d'une rente pour le partenaire étaient déjà remplies pendant leur vie active et que leur partenariat avait été déclaré". Dans ces circonstances, il n'est pas possible d'admettre que l'introduction d'une rente de partenaire était une "offre" qui était destinée à D. dans la mesure où il BGE 137 V 105 S. 111 connaissait les documents mentionnant les conditions auxquelles les retraités pouvaient y avoir droit et qu'il savait qu'il ne les remplissait pas complètement. Les recourants ne peuvent dès lors pas s'opposer à la modification du règlement 2008 en invoquant les droits réservés par l'art. 9.1 du règlement.</w:t>
      </w:r>
    </w:p>
    <w:p>
      <w:r>
        <w:rPr>
          <w:b/>
        </w:rPr>
        <w:t>E. 7.4.3</w:t>
      </w:r>
    </w:p>
    <w:p>
      <w:r>
        <w:t>Il n'y a pas lieu de se prononcer sur la violation de l'interdiction de la rétroactivité, alléguée par les recourants, car le droit de S. à une rente de partenaire doit être examiné, en l'absence de droits garantis, au regard de la règlementation en vigueur lors de la décision de constat, le fait assuré n'étant pas encore survenu.</w:t>
      </w:r>
    </w:p>
    <w:p>
      <w:r>
        <w:rPr>
          <w:b/>
        </w:rPr>
        <w:t>E. 8.1</w:t>
      </w:r>
    </w:p>
    <w:p>
      <w:r>
        <w:t>Pour les recourants, l'obligation faite à la personne assurée d'annoncer de son vivant l'existence d'un partenariat, est une incombance formelle contraire à l' art. 20a LPP (RS 831.40).</w:t>
      </w:r>
    </w:p>
    <w:p>
      <w:r>
        <w:rPr>
          <w:b/>
        </w:rPr>
        <w:t>E. 8.2</w:t>
      </w:r>
    </w:p>
    <w:p>
      <w:r>
        <w:t>Dans un arrêt récent ( ATF 136 V 127 ), le Tribunal fédéral a précisé que, dans la mesure où le droit des personnes visées à l' art. 20a LPP ne résulte pas de la loi elle-même mais seulement du fait que celui-ci soit institué par le règlement d'une institution de prévoyance ( art. 49 al. 1 et art. 50 LPP ), il apparaissait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 art. 49 al. 1 LPP ; ATF 136 V 49 consid. 4.6 p. 55 ss). Il ne résulte ni du texte de l' 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w:t>
      </w:r>
    </w:p>
    <w:p>
      <w:r>
        <w:rPr>
          <w:b/>
        </w:rPr>
        <w:t>E. 8.3</w:t>
      </w:r>
    </w:p>
    <w:p>
      <w:r>
        <w:t>En l'espèce, l'incombance prévue par l'art. 3.10a let. c du règlement est dès lors conforme à l' art. 20a LPP .</w:t>
      </w:r>
    </w:p>
    <w:p>
      <w:r>
        <w:rPr>
          <w:b/>
        </w:rPr>
        <w:t>E. 9.1</w:t>
      </w:r>
    </w:p>
    <w:p>
      <w:r>
        <w:t>Les recourants voient une inégalité de traitement, prohibée par l' art. 8 al. 2 Cst. , entre les couples mariés ou les partenaires BGE 137 V 105 S. 112 enregistrés et les concubins, par le fait que l'obligation d'annonce ne soit imposée qu'aux derniers.</w:t>
      </w:r>
    </w:p>
    <w:p>
      <w:r>
        <w:rPr>
          <w:b/>
        </w:rPr>
        <w:t>E. 9.2</w:t>
      </w:r>
    </w:p>
    <w:p>
      <w:r>
        <w:t>La LPP prévoit les prestations légalement dues au conjoint survivant (art. 19) et au partenaire enregistré survivant (art. 19a). En revanche, elle ne contient aucune obligation de verser des prestations au concubin survivant. Elle se limite à réserver la possibilité pour les institutions de prévoyance d'introduire une telle rente à certaines conditions. Ainsi, la législation fédérale, dont le Tribunal fédéral ne saurait revoir la constitutionnalité ( art. 190 Cst. ), fait une différence entre les conjoints et les partenaires enregistrés d'une part et les concubins de l'autre. Ce traitement différent réservé à ces derniers par la législateur fédéral, est basé sur l'idée que les concubins hétérosexuels ont la possibilité de se marier et sur le désir de conserver le mariage comme institution uniforme pour les couples hétérosexuels (Message du 29 novembre 2002 relatif à la loi fédérale sur le partenariat enregistré entre personnes du même sexe, FF 2003 1213 ch. 1.6.3).</w:t>
      </w:r>
    </w:p>
    <w:p>
      <w:r>
        <w:rPr>
          <w:b/>
        </w:rPr>
        <w:t>E. 9.3</w:t>
      </w:r>
    </w:p>
    <w:p>
      <w:r>
        <w:t>Il s'agit ensuite de déterminer si l'application du règlement conduit à une inégalité de traitement ( art. 8 al. 2 Cst. ), en particulier si les recourants peuvent se prévaloir d'une inégalité avec les couples mariés et les partenaires enregistrés dans la mesure où ces deux dernières catégories ont droit à une rente pour le conjoint, respectivement le partenaire survivant, même si le mariage ou l'enregistrement du partenariat ont eu lieu après la mise à la retraite, alors que les concubins seraient privés de faire inscrire leur statut après la mise à la retraite. A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(SPYCHER/HAUSHEER, Handbuch des Unterhaltsrechts, 2 e éd. 2010, p. 673 ss; FRANZ WERRO,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 art. 8 al. 2 Cst. prohibe les discriminations fondées notamment sur l'origine, la race, le sexe, l'âge, BGE 137 V 105 S. 113 la langue, la situation sociale, le mode de vie, les convictions religieuses, philosophiques et politiques, ainsi que sur une déficience corporelle, mentale et psychique, il ne vise pas expressément les concubins.</w:t>
      </w:r>
    </w:p>
    <w:p>
      <w:r>
        <w:rPr>
          <w:b/>
        </w:rPr>
        <w:t>E. 9.4</w:t>
      </w:r>
    </w:p>
    <w:p>
      <w:r>
        <w:t>Par ailleurs, le fait pour une institution de prévoyance de prévoir une obligation d'annonce pour l'obtention d'une rente de partenaire, dont la jurisprudence ( ATF 136 V 127 ; consid. 8.2 ci-dessus) a reconnu qu'il s'agissait d'une incombance admissible, ne constitue pas une inégalité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w:t>
      </w:r>
    </w:p>
    <w:p>
      <w:r>
        <w:rPr>
          <w:b/>
        </w:rPr>
        <w:t>E. 9.5</w:t>
      </w:r>
    </w:p>
    <w:p>
      <w:r>
        <w:t>Enfin, on rappellera que le rapport de prévoyance est fondamentalement modifié lorsque l'assuré est mis au bénéfice d'une rente de vieillesse. En effet, avant son départ à la retraite, l'assuré ne dispose que d'expectatives quant à sa future rente, lesquelles peuvent en principe être revues en tout temps, tandis qu'à sa mise à la retraite l'assuré acquiert le droit à une rente financée par le capital de prévoyance, dont le montant ne peut plus être modifié sous réserve des éventualités envisagées aux art. 36 al. 2 et 65d al. 3 let. b LPP ( ATF 135 V 382 consid. 6 p. 390 ss; ATF 134 I 23 consid. 7 p. 35 ss). Il est ainsi conforme au système que de nouvelles rentes ne puissent naître postérieurement au départ de l'assuré à la retraite, contrairement à ce que les recourants voudraient obtenir.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